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2F" w:rsidRPr="00045A2F" w:rsidRDefault="00045A2F" w:rsidP="00045A2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1BB302" wp14:editId="7F288B96">
            <wp:extent cx="590550" cy="56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2F" w:rsidRPr="00045A2F" w:rsidRDefault="00045A2F" w:rsidP="00045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45A2F" w:rsidRPr="00045A2F" w:rsidRDefault="00045A2F" w:rsidP="00045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ВЕСЕЛОВСКОГО  СЕЛЬСКОГО</w:t>
      </w:r>
      <w:proofErr w:type="gramEnd"/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045A2F" w:rsidRPr="00045A2F" w:rsidRDefault="00045A2F" w:rsidP="00045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ВЕСЕЛОВСКОГО </w:t>
      </w:r>
      <w:proofErr w:type="gramStart"/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РОСТОВСКОЙ</w:t>
      </w:r>
      <w:proofErr w:type="gramEnd"/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ОБЛАСТИ </w:t>
      </w:r>
    </w:p>
    <w:p w:rsidR="00045A2F" w:rsidRPr="00045A2F" w:rsidRDefault="00045A2F" w:rsidP="00045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ПОСТАНОВЛЕНИЕ</w:t>
      </w:r>
    </w:p>
    <w:p w:rsidR="00045A2F" w:rsidRPr="00045A2F" w:rsidRDefault="00045A2F" w:rsidP="00045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45A2F" w:rsidRPr="00045A2F" w:rsidRDefault="00045A2F" w:rsidP="00045A2F">
      <w:pPr>
        <w:tabs>
          <w:tab w:val="left" w:pos="7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 апреля</w:t>
      </w: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2023 года                         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59</w:t>
      </w: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п. Веселый</w:t>
      </w:r>
    </w:p>
    <w:p w:rsidR="00045A2F" w:rsidRPr="00045A2F" w:rsidRDefault="00045A2F" w:rsidP="00045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Программы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комплексного развития систем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коммунальной инфраструктуры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«Веселовское сельское поселение»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Веселовского района Ростовской области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2023-2030 годы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04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14 июня 2013г.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муниципального образования «Веселовское сельское поселение»,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ПОСТАНОВЛЯЮ: 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1. Утвердить Программу комплексного развития систем коммунальной инфраструктуры муниципального образования «Веселовское сельское поселение» Веселовского района Ростовской области на 2023-2030 годы, согласно приложению.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2. Установить, что в ходе реализации программы ежегодной корректировке подлежат мероприятия и объемы их финансирования, с учетом возможностей </w:t>
      </w:r>
      <w:proofErr w:type="gramStart"/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  бюджета</w:t>
      </w:r>
      <w:proofErr w:type="gramEnd"/>
      <w:r w:rsidRPr="00045A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поселения.          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3. Постановление вступает в силу со дня официального обнародования.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4. Контроль за выполнением настоящего постановления возлагаю на себя. 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Веселовского сельского поселения</w:t>
      </w: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</w:t>
      </w:r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</w:t>
      </w:r>
      <w:proofErr w:type="spellStart"/>
      <w:r w:rsidRPr="00045A2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К.А.Федорченко</w:t>
      </w:r>
      <w:proofErr w:type="spellEnd"/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045A2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                        </w:t>
      </w:r>
    </w:p>
    <w:p w:rsidR="00045A2F" w:rsidRPr="00045A2F" w:rsidRDefault="00045A2F" w:rsidP="00045A2F">
      <w:pPr>
        <w:tabs>
          <w:tab w:val="left" w:pos="1905"/>
        </w:tabs>
        <w:spacing w:after="0" w:line="276" w:lineRule="auto"/>
        <w:ind w:left="666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</w:t>
      </w:r>
    </w:p>
    <w:p w:rsidR="00045A2F" w:rsidRPr="00045A2F" w:rsidRDefault="00045A2F" w:rsidP="00045A2F">
      <w:pPr>
        <w:tabs>
          <w:tab w:val="left" w:pos="1905"/>
        </w:tabs>
        <w:spacing w:after="0" w:line="276" w:lineRule="auto"/>
        <w:ind w:left="666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постановлению</w:t>
      </w:r>
    </w:p>
    <w:p w:rsidR="00045A2F" w:rsidRPr="00045A2F" w:rsidRDefault="00045A2F" w:rsidP="00045A2F">
      <w:pPr>
        <w:tabs>
          <w:tab w:val="left" w:pos="1905"/>
        </w:tabs>
        <w:spacing w:after="0" w:line="276" w:lineRule="auto"/>
        <w:ind w:left="666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администрации Веселовского сельского поселения</w:t>
      </w:r>
    </w:p>
    <w:p w:rsidR="00045A2F" w:rsidRPr="00045A2F" w:rsidRDefault="00045A2F" w:rsidP="00045A2F">
      <w:pPr>
        <w:tabs>
          <w:tab w:val="left" w:pos="1905"/>
        </w:tabs>
        <w:spacing w:after="0" w:line="276" w:lineRule="auto"/>
        <w:ind w:left="666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</w:t>
      </w:r>
      <w:r w:rsidRPr="00045A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04.2023г. 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25</w:t>
      </w:r>
    </w:p>
    <w:p w:rsidR="00045A2F" w:rsidRPr="00045A2F" w:rsidRDefault="00045A2F" w:rsidP="00045A2F">
      <w:pPr>
        <w:tabs>
          <w:tab w:val="left" w:pos="190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073"/>
      </w:tblGrid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комплексного развития систем коммунальной инфраструктуры Веселовского сельского поселения на 2023-2030г.г.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>- Градостроительный кодекс Российской Федерации от 29.12.2004 № 190-ФЗ,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Федеральный закон от 23.11.2009 № 261-ФЗ «Об энергосбережении и о повышении </w:t>
            </w:r>
            <w:proofErr w:type="gramStart"/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>энергетической эффективности</w:t>
            </w:r>
            <w:proofErr w:type="gramEnd"/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 xml:space="preserve"> и о внесении изменений в отдельные законодательные акты Российской Федерации», 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045A2F" w:rsidRPr="00045A2F" w:rsidRDefault="00045A2F" w:rsidP="00045A2F">
            <w:pPr>
              <w:keepNext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A2F">
              <w:rPr>
                <w:rFonts w:ascii="Times New Roman" w:eastAsia="Times New Roman" w:hAnsi="Times New Roman" w:cs="Times New Roman"/>
                <w:lang w:eastAsia="ar-SA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5A2F">
              <w:rPr>
                <w:rFonts w:ascii="Times New Roman" w:eastAsia="Times New Roman" w:hAnsi="Times New Roman" w:cs="Times New Roman"/>
                <w:lang w:eastAsia="ar-SA"/>
              </w:rPr>
              <w:t>коммунальной инфраструктуры поселений, городских округов»</w:t>
            </w:r>
          </w:p>
          <w:p w:rsidR="00045A2F" w:rsidRPr="00045A2F" w:rsidRDefault="00045A2F" w:rsidP="00045A2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A2F">
              <w:rPr>
                <w:rFonts w:ascii="Times New Roman" w:eastAsia="Times New Roman" w:hAnsi="Times New Roman" w:cs="Times New Roman"/>
                <w:lang w:eastAsia="ru-RU"/>
              </w:rPr>
              <w:t>- Генеральный План развития Веселовского сельского поселения Веселовского муниципального района Ростовской области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Веселовского сельского поселения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Веселовского сельского поселения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оборудования;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доступной стоимости жилищно-коммунальных услуг нормативного качества;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комфортности и безопасности проживания населения за счет развития и модернизации жилищного фонда и объектов инженерной инфраструктуры Веселовского сельского поселения;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качества и надежности, предоставляемых гражданам жилищно-коммунальных услуг; 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износа коммунальной инфраструктуры;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Программное управление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ресурсосбережением и повышением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существующих объектов теплоснабжения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программы планируется на 2023- </w:t>
            </w: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2</w:t>
            </w: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  <w:lang w:eastAsia="ru-RU"/>
              </w:rPr>
              <w:t xml:space="preserve">030 </w:t>
            </w: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годы</w:t>
            </w: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этапам: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2023-2027 – реализация запланированных мероприятий;</w:t>
            </w:r>
          </w:p>
          <w:p w:rsidR="00045A2F" w:rsidRPr="00045A2F" w:rsidRDefault="00045A2F" w:rsidP="0004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II этап 2028-2030 годы – актуализация программы в соответствии с финансированием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критерии доступности и доля охвата населения коммунальными услугами;</w:t>
            </w:r>
          </w:p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показатели надежности (бесперебойности) систем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показатели эффективности производства коммунальных ресурсов и их потребления;</w:t>
            </w:r>
          </w:p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показатели воздействия на окружающую среду;</w:t>
            </w:r>
          </w:p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показатели качества коммунальных ресурсов.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Финансирование управления Программой осуществляется за</w:t>
            </w:r>
          </w:p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местного бюджета, бюджета района, областного бюджета.</w:t>
            </w:r>
          </w:p>
          <w:p w:rsidR="00045A2F" w:rsidRPr="00045A2F" w:rsidRDefault="00045A2F" w:rsidP="000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прогнозируемый объем финансирования Программы составит за период 2023-2030 годы всего 44 000 000,0 рублей.</w:t>
            </w:r>
          </w:p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</w:t>
            </w:r>
          </w:p>
        </w:tc>
      </w:tr>
      <w:tr w:rsidR="00045A2F" w:rsidRPr="00045A2F" w:rsidTr="00045A2F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мероприятий программы позволит:</w:t>
            </w:r>
          </w:p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качество и надежность жилищно-коммунальных услуг, оказываемых потребителям;</w:t>
            </w:r>
          </w:p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использования систем коммунальной инфраструктуры;</w:t>
            </w:r>
          </w:p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санитарного благополучия населения, промышленной и экологической безопасности</w:t>
            </w:r>
          </w:p>
        </w:tc>
      </w:tr>
    </w:tbl>
    <w:p w:rsidR="00045A2F" w:rsidRPr="00045A2F" w:rsidRDefault="00045A2F" w:rsidP="00045A2F">
      <w:pPr>
        <w:tabs>
          <w:tab w:val="left" w:pos="19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045A2F" w:rsidRPr="00045A2F" w:rsidRDefault="00045A2F" w:rsidP="00045A2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Основания для разработки Программы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работ по формированию программы комплексного развития систем коммунальной инфраструктуры Веселовского сельского поселения Веселовского муниципального района Ростовской области (далее Программа) являются: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от 29.12.2004 № 190-ФЗ,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23.11.2009 № 261-ФЗ «Об энергосбережении и о повышении </w:t>
      </w:r>
      <w:proofErr w:type="gram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План развития Веселовского сельского поселения Веселовского района Ростовской области </w:t>
      </w:r>
    </w:p>
    <w:p w:rsidR="00045A2F" w:rsidRPr="00045A2F" w:rsidRDefault="00045A2F" w:rsidP="00045A2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Цели и задачи</w:t>
      </w: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Программа комплексного развития систем коммунальной инфраструктуры муниципального образования, </w:t>
      </w:r>
      <w:r w:rsidRPr="00045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разработана в целях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надежной и стабильной поставки коммунальных ресурсов с использованием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оборудования; обеспечения доступной стоимости жилищно-коммунальных услуг нормативного качества; повышения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Верхнедобринского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повышения качества и надежности, предоставляемых гражданам жилищно-коммунальных услуг; модернизации коммунальной инфраструктуры для повышения ресурсной эффективности производства и предоставления услуг; повышения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водоснабжения и газоснабжения, снижение энергоемкости жилищно-коммунального хозяйства; снижения износа коммунальной инфраструктуры.</w:t>
      </w:r>
    </w:p>
    <w:p w:rsidR="00045A2F" w:rsidRPr="00045A2F" w:rsidRDefault="00045A2F" w:rsidP="00045A2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045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комплексного развития систем коммунальной инфраструктуры </w:t>
      </w:r>
      <w:r w:rsidRPr="00045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Веселовского сельского поселения</w:t>
      </w:r>
      <w:r w:rsidRPr="00045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увязанный по задачам, ресурсам и срокам </w:t>
      </w:r>
      <w:r w:rsidRPr="00045A2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осуществления перечень</w:t>
      </w:r>
      <w:r w:rsidRPr="00045A2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мероприятий, направленных на обеспечение </w:t>
      </w:r>
      <w:r w:rsidRPr="00045A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функционирования и развития коммунальной инфраструктуры Веселовского сельского поселения</w:t>
      </w:r>
      <w:r w:rsidRPr="00045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Pr="00045A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045A2F" w:rsidRPr="00045A2F" w:rsidRDefault="00045A2F" w:rsidP="00045A2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</w:t>
      </w: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045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комплексного развития систем коммунальной инфраструктуры Веселовского сельского поселения</w:t>
      </w:r>
      <w:r w:rsidRPr="00045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45A2F" w:rsidRPr="00045A2F" w:rsidRDefault="00045A2F" w:rsidP="00045A2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предоставляемых услуг;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045A2F" w:rsidRPr="00045A2F" w:rsidRDefault="00045A2F" w:rsidP="0004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программное управление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ресурсосбережением и повышением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5A2F" w:rsidRPr="00045A2F" w:rsidRDefault="00045A2F" w:rsidP="00045A2F">
      <w:pPr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существующих объектов теплоснабжения.</w:t>
      </w:r>
    </w:p>
    <w:p w:rsidR="00045A2F" w:rsidRPr="00045A2F" w:rsidRDefault="00045A2F" w:rsidP="00045A2F">
      <w:pPr>
        <w:spacing w:after="0" w:line="240" w:lineRule="auto"/>
        <w:ind w:right="6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045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комплексного развития систем коммунальной инфраструктуры включены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эффективности работы коммунального комплекса, которые представляют собой:</w:t>
      </w:r>
    </w:p>
    <w:p w:rsidR="00045A2F" w:rsidRPr="00045A2F" w:rsidRDefault="00045A2F" w:rsidP="00045A2F">
      <w:pPr>
        <w:numPr>
          <w:ilvl w:val="0"/>
          <w:numId w:val="2"/>
        </w:numPr>
        <w:suppressAutoHyphens/>
        <w:spacing w:after="0" w:line="240" w:lineRule="auto"/>
        <w:ind w:right="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045A2F" w:rsidRPr="00045A2F" w:rsidRDefault="00045A2F" w:rsidP="00045A2F">
      <w:pPr>
        <w:numPr>
          <w:ilvl w:val="0"/>
          <w:numId w:val="2"/>
        </w:numPr>
        <w:suppressAutoHyphens/>
        <w:spacing w:after="0" w:line="240" w:lineRule="auto"/>
        <w:ind w:right="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мероприятий;</w:t>
      </w:r>
    </w:p>
    <w:p w:rsidR="00045A2F" w:rsidRPr="00045A2F" w:rsidRDefault="00045A2F" w:rsidP="00045A2F">
      <w:pPr>
        <w:numPr>
          <w:ilvl w:val="0"/>
          <w:numId w:val="2"/>
        </w:numPr>
        <w:suppressAutoHyphens/>
        <w:spacing w:after="0" w:line="240" w:lineRule="auto"/>
        <w:ind w:right="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на реализацию мероприятий.</w:t>
      </w: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существующего состояния систем коммунальной инфраструктуры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Существующее положение системы и структуры водоснабжения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водоснабжения Веселовского сельского поселения являются подземные воды. Водоснабжение, осуществляется из эксплуатационных скважин через водопроводные сети. Качество питьевой воды соответствует нормам СанПиН 2.1.4.1074-01. Запасы используемых подземных вод не оценены и не утверждены.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системы водоснабжения характеризуется высокой степенью износа скважин, водопроводных сетей и технологического оборудования. Основные проблемы функционирования системы водоснабжения: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резерва мощности;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степень автоматизации производственных процессов;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низкая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низкая надежность источника энергоснабжения;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высокие потери воды при транспортировке;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резервных и кольцевых водопроводных линий;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резервного источника водоснабжения;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по водоснабжению Веселовского сельского поселения предоставляет «Веселовское МУП ЖКХ» </w:t>
      </w:r>
    </w:p>
    <w:p w:rsidR="00045A2F" w:rsidRPr="00045A2F" w:rsidRDefault="00045A2F" w:rsidP="00045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Существующее положение в сфере водоотведения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Веселовском сельском поселении отсутствует централизованная система канализации. Водоотведение индивидуальных жилых домов, организаций, МКД, осуществляется в водонепроницаемые выгреба с последующим вывозом их на полигон ЖБО.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Существующее положение по теплоснабжению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Веселовского сельского поселения весь жилой фонд переведен на подомовое отопление. Объекты соцкультбыта, школы, детские сады, Дом культуры, административные здания получают тепловую энергию от котельной по адресу: п. Веселый, ул. Октябрьская, 118а. Обслуживает котельную Веселовское МУП ЖКХ.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Характеристика сферы сбора твердых коммунальных отходов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отходов и мусора от населения Веселовского сельского поселения осуществляется тарным способом ООО «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-Н», являющейся региональным оператором в сфере обращения с отходами в Ростовской области. </w:t>
      </w:r>
    </w:p>
    <w:p w:rsidR="00045A2F" w:rsidRPr="00045A2F" w:rsidRDefault="00045A2F" w:rsidP="00045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Существующее положение по газоснабжению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протяжение уличной газовой сети на территории поселения составляет 105410 метров. Жилой фонд обеспечен централизованным газоснабжением на 81 %. 10 объектов газовых сетей находятся в собственности Веселовского сельского поселения. Содержанием, обслуживанием и эксплуатацией газовых сетей занимается ПАО «Газпром Газораспределение г. Ростов-на-Дону».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Существующее положение системы и структуры электроснабжения.</w:t>
      </w:r>
    </w:p>
    <w:p w:rsidR="00045A2F" w:rsidRPr="00045A2F" w:rsidRDefault="00045A2F" w:rsidP="00045A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населения Веселовского сельского поселения осуществляет ПАО </w:t>
      </w:r>
      <w:r w:rsidRPr="00045A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</w:t>
      </w:r>
      <w:proofErr w:type="spellStart"/>
      <w:r w:rsidRPr="00045A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Россети</w:t>
      </w:r>
      <w:proofErr w:type="spellEnd"/>
      <w:r w:rsidRPr="00045A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Юг» </w:t>
      </w:r>
      <w:proofErr w:type="gramStart"/>
      <w:r w:rsidRPr="00045A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-«</w:t>
      </w:r>
      <w:proofErr w:type="gramEnd"/>
      <w:r w:rsidRPr="00045A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Ростовэнерго». Т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состояние оборудования Веселовского сельского поселения находится в удовлетворительном состоянии, потери электроэнергии составляют 0,1%.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отсутствуют. Жилой фонд п. Веселый, х. Верхний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Хомутец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Каракашев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Проциков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 системами электроснабжения на 100%.  Распределение электроэнергии осуществляется ВЛ 10кВ № 151; № 157; № 158; № 160; № 309; № 402; № 503; № 504.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администрации Веселовского сельского поселения относится организация в границах сельского поселения уличного освещения.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режима работы фонарей происходит путем настройки фотореле. В фонарях используются светодиодные светильники. Планируется установка дополнительных энергосберегающих светодиодных фонарей на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малоосвещенных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улиц.  </w:t>
      </w:r>
    </w:p>
    <w:p w:rsidR="00045A2F" w:rsidRPr="00045A2F" w:rsidRDefault="00045A2F" w:rsidP="00045A2F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A2F" w:rsidRPr="00045A2F" w:rsidRDefault="00045A2F" w:rsidP="00045A2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градостроительному развитию и развитию планировочной структуры</w:t>
      </w:r>
    </w:p>
    <w:p w:rsidR="00045A2F" w:rsidRPr="00045A2F" w:rsidRDefault="00045A2F" w:rsidP="00045A2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Жилая зона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часть территории населенного пункта поселения — зона жилой застройки. Основной тип застройки — индивидуальные жилые дома. Жилищный фонд поселения в целом в настоящее время составляет 257,2 тыс. м</w:t>
      </w:r>
      <w:r w:rsidRPr="00045A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1872"/>
        <w:gridCol w:w="1456"/>
        <w:gridCol w:w="1557"/>
      </w:tblGrid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 </w:t>
            </w:r>
          </w:p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(многоквартирные жилые дома)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управлении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ТСЖ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непосредственное 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(индивидуальные здания)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пригодный для проживания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не пригодный для проживания: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ветхий жилой фонд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обеспеченность населения жильем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</w:p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ТСЖ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общедомовых приборов учета,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тепла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газа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электроэнергии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ЖКУ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для улучшения жилищных условий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водопроводов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 в сети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Пропущено воды через очистные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куб.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воды всем потребителям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хозбытовые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воды (на 1 жителя):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м/год на 1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уличной газовой сети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газифицированных квартир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сетевым газом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сжиженным газом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сетевого газа всем потребителям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сжиженного газа всем потребителям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линий электропередач,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электроэнергии потребителям,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кВт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населению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кВт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50"/>
        <w:gridCol w:w="1730"/>
        <w:gridCol w:w="1701"/>
      </w:tblGrid>
      <w:tr w:rsidR="00045A2F" w:rsidRPr="00045A2F" w:rsidTr="00045A2F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045A2F" w:rsidRPr="00045A2F" w:rsidRDefault="00045A2F" w:rsidP="00045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  <w:p w:rsidR="00045A2F" w:rsidRPr="00045A2F" w:rsidRDefault="00045A2F" w:rsidP="00045A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045A2F" w:rsidRPr="00045A2F" w:rsidTr="00045A2F">
        <w:trPr>
          <w:trHeight w:val="423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45A2F" w:rsidRPr="00045A2F" w:rsidTr="00045A2F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жилищного фонда на территории Веселовского сельского поселения требуется.</w:t>
      </w:r>
    </w:p>
    <w:p w:rsidR="00045A2F" w:rsidRPr="00045A2F" w:rsidRDefault="00045A2F" w:rsidP="00045A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Общественно-деловая зона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потребности в учреждениях обслуживания выполнен с учетом нормативов градостроительного проектирования Ростовской области на население, прогнозируемое для населённых пунктов на первую очередь и расчётный срок реализации генерального плана.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по развитию инженерной инфраструктуры</w:t>
      </w:r>
    </w:p>
    <w:p w:rsidR="00045A2F" w:rsidRPr="00045A2F" w:rsidRDefault="00045A2F" w:rsidP="00045A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45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по развитию теплоснабжения. </w:t>
      </w:r>
    </w:p>
    <w:p w:rsidR="00045A2F" w:rsidRPr="00045A2F" w:rsidRDefault="00045A2F" w:rsidP="00045A2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разработки мероприятий по теплоснабжению Программы комплексного развития систем коммунальной инфраструктуры Веселовского сельского поселения на период 2023-2030 гг. являются: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населения Веселовского сельского поселения тепловой энергией, соответствующей нормам потребления, с качеством, соответствующим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Рациональное использование тепловых ресурсов.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Защита окружающей среды от загрязнения. 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объектов, обеспечением финансовой устойчивости предприятий, оказывающих услуги по теплоснабжению.  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Мероприятия по развитию системы сбора и вывоза ТКО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отходов и мусора от населения осуществляется ООО «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-Н», являющейся региональным оператором в сфере обращения с отходами в Ростовской области.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Мероприятия по развитию системы электроснабжения</w:t>
      </w: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администрации Веселовского сельского поселения относится организация в границах сельского поселения уличного освещения. </w:t>
      </w: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планируется установка дополнительных энергосберегающих светодиодных фонарей на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малоосвещенных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улиц. Техническое состояние оборудования Веселовского сельского поселения находится в удовлетворительном состоянии, потери электроэнергии составляют 0,1%.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(для примера) 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Отпущено эл. энергии в сеть         – 0.26 млн. квт/час.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потери                       – 0,002 млн. квт/час.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электроэнергии           – 0.26 млн. квт/час.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погрешности измерения – входят в технические потери;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текущего состояния электроэнергетики Веселовского сельского поселения являются: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процесса старения основного оборудования электрических сетей поселения;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недостаточные объемы инвестиций в электро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энергетику за прошедшие годы;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понимания концепции опережающего развития системы электроэнергетики.</w:t>
      </w: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развития электроснабжения Веселовского сельского поселения являются: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реконструкция и расширение действующих трансформаторных подстанций, демонтаж морально и </w:t>
      </w:r>
      <w:proofErr w:type="gram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устаревшего</w:t>
      </w:r>
      <w:proofErr w:type="gram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изношенного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и низкого напряжения,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масштабное внедрение энергосберегающих технологий и оборудования в хозяйстве поселения.</w:t>
      </w: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бездефицитность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энергобаланса поселения, как по мощности, так и по электроэнергии.</w:t>
      </w: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 автотранспортных средств,</w:t>
      </w:r>
    </w:p>
    <w:p w:rsidR="00045A2F" w:rsidRPr="00045A2F" w:rsidRDefault="00045A2F" w:rsidP="0004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Утилизация всевозможных отходов (железобетон, лом черных и цветных металлов, автошины, отработанные масла).</w:t>
      </w:r>
    </w:p>
    <w:p w:rsidR="00045A2F" w:rsidRPr="00045A2F" w:rsidRDefault="00045A2F" w:rsidP="00045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мероприятий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5A2F" w:rsidRPr="00045A2F">
          <w:pgSz w:w="11905" w:h="16837"/>
          <w:pgMar w:top="851" w:right="706" w:bottom="709" w:left="1701" w:header="714" w:footer="624" w:gutter="0"/>
          <w:cols w:space="720"/>
        </w:sect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МЕРОПРИЯТИЯ ПРОГРАММЫ КОМПЛЕКСНОГО РАЗВИТИЯ  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КОММУНАЛЬНОЙ ИНФРАСТРУКТУРЫ МУНИЦИПАЛЬНОГО ОБРАЗОВАНИЯ, </w:t>
      </w: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2023-2030 год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641"/>
        <w:gridCol w:w="3260"/>
        <w:gridCol w:w="1245"/>
        <w:gridCol w:w="1134"/>
        <w:gridCol w:w="1134"/>
        <w:gridCol w:w="879"/>
        <w:gridCol w:w="824"/>
        <w:gridCol w:w="990"/>
        <w:gridCol w:w="1163"/>
        <w:gridCol w:w="1134"/>
        <w:gridCol w:w="1105"/>
        <w:gridCol w:w="1134"/>
        <w:gridCol w:w="1024"/>
      </w:tblGrid>
      <w:tr w:rsidR="00045A2F" w:rsidRPr="00045A2F" w:rsidTr="00045A2F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rPr>
          <w:trHeight w:val="255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rPr>
          <w:trHeight w:val="255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«ул. Октябрьская, 118а»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2F" w:rsidRPr="00045A2F" w:rsidTr="00045A2F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теплотрассы    </w:t>
            </w:r>
            <w:proofErr w:type="gramStart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118а»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2F" w:rsidRPr="00045A2F" w:rsidRDefault="00045A2F" w:rsidP="00045A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A2F" w:rsidRPr="00045A2F" w:rsidRDefault="00045A2F" w:rsidP="00045A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5A2F" w:rsidRPr="00045A2F">
          <w:pgSz w:w="16837" w:h="11905" w:orient="landscape"/>
          <w:pgMar w:top="987" w:right="158" w:bottom="426" w:left="567" w:header="426" w:footer="709" w:gutter="0"/>
          <w:cols w:space="720"/>
        </w:sect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Механизм реализации целевой программы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соответствии с законодательством Российской Федерации.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включает следующие элементы: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разработку и издание муниципальных правовых актов, необходимых для выполнения Программы;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Ожидаемые результаты реализации комплексного развития системы коммунальной инфраструктуры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предложенных программных мероприятий по развитию и модернизации коммунальной инфраструктуры Веселовского сельского поселения позволит улучшить качество обеспечения потребителей Веселовского сельского поселения коммунальными услугами.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по развитию и модернизации системы водоснабжения позволит: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централизованным водоснабжением территорию всего Веселовского сельского поселения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водоснабжение Веселовского сельского поселения;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удельные расходы на энергию и другие эксплуатационные расходы;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рентабельность деятельности предприятий, эксплуатирующих системы водоснабжения </w:t>
      </w:r>
      <w:proofErr w:type="spellStart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Верхнедобринского</w:t>
      </w:r>
      <w:proofErr w:type="spellEnd"/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комплекса мероприятий программы по развитию и модернизации объектов, функционирующих в сфере сбора и вывоза твердых коммунальных отходов, позволит: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уменьшить количество несанкционированных свалок;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эстетический облик Веселовского сельского поселения;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и привести в соответствие с требованиями законодательства обращение с отходами;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систему планирования и учета в сфере обращения с отходами на территории Веселовского поселения;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в хозяйственный оборот вторичное сырье; 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экологическое состояние территории Веселовского сельского поселения;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или значительно сократить количество экологически опасных ситуаций и объем затрат на их ликвидацию.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по развитию и модернизации системы электроснабжения:</w:t>
      </w:r>
    </w:p>
    <w:p w:rsidR="00045A2F" w:rsidRPr="00045A2F" w:rsidRDefault="00045A2F" w:rsidP="00045A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045A2F" w:rsidRPr="00045A2F" w:rsidRDefault="00045A2F" w:rsidP="00045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Оценка социально-экономической эффективности и экологические последствия реализации программы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программы комплексного развития систем коммунальной инфраструктуры Веселовского сельского поселения на 2023-2030 г. определяются с помощью целевых индикаторов.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5529"/>
        <w:gridCol w:w="1962"/>
        <w:gridCol w:w="2375"/>
        <w:gridCol w:w="9"/>
      </w:tblGrid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После реализации программы</w:t>
            </w:r>
          </w:p>
        </w:tc>
      </w:tr>
      <w:tr w:rsidR="00045A2F" w:rsidRPr="00045A2F" w:rsidTr="00045A2F">
        <w:trPr>
          <w:trHeight w:val="450"/>
        </w:trPr>
        <w:tc>
          <w:tcPr>
            <w:tcW w:w="9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Доступность услуги (обеспеченность) для населения, %</w:t>
            </w:r>
          </w:p>
        </w:tc>
      </w:tr>
      <w:tr w:rsidR="00045A2F" w:rsidRPr="00045A2F" w:rsidTr="00045A2F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</w:tr>
      <w:tr w:rsidR="00045A2F" w:rsidRPr="00045A2F" w:rsidTr="00045A2F">
        <w:trPr>
          <w:trHeight w:val="1"/>
        </w:trPr>
        <w:tc>
          <w:tcPr>
            <w:tcW w:w="9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Показатель надежности (количество аварий на сетях)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045A2F" w:rsidRPr="00045A2F" w:rsidTr="00045A2F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45A2F" w:rsidRPr="00045A2F" w:rsidRDefault="00045A2F" w:rsidP="00045A2F">
            <w:pPr>
              <w:spacing w:after="200" w:line="360" w:lineRule="auto"/>
              <w:ind w:right="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5A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</w:tbl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Ожидаемыми результатами Программы являются</w:t>
      </w:r>
    </w:p>
    <w:p w:rsidR="00045A2F" w:rsidRPr="00045A2F" w:rsidRDefault="00045A2F" w:rsidP="00045A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надежности жилищно-коммунальных услуг, оказываемых потребителям;</w:t>
      </w:r>
    </w:p>
    <w:p w:rsidR="00045A2F" w:rsidRPr="00045A2F" w:rsidRDefault="00045A2F" w:rsidP="00045A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эффективности использования систем коммунальной инфраструктуры муниципальных образований;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санитарного благополучия населения, промышленной и экологической безопасности.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Обосновывающие материалы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Обоснование прогнозируемого спроса на коммунальные ресурсы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системы коммунальной инфраструктуры Веселовского сельского поселения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обществе.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Обоснование целевых показателей комплексного развития коммунальной инфраструктуры. 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 развития новых систем коммунальной инфраструктуры взаимосвязана с Генеральным планом развития территории. </w:t>
      </w:r>
      <w:r w:rsidRPr="00045A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Генеральный план </w:t>
      </w: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Финансово-экономическое обоснование реализации </w:t>
      </w:r>
      <w:r w:rsidRPr="00045A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Генерального плана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Pr="00045A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Генерального плана </w:t>
      </w: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за счет средств бюджетов различных уровней и инвестиционных финансовых вложений.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Характеристика состояния и проблем системы коммунальной инфраструктуры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практика, проведение ремонтных и профилактических работ только на объектах ЖКХ, находящихся на балансе </w:t>
      </w:r>
      <w:proofErr w:type="gramStart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proofErr w:type="gramEnd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позволяет надёжно обеспечить потребителей коммунальными услугами, т.к. внутренние водопроводные сети, газовые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аварий на коммунальных сетях происходят на объектах потребителей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услуг. Основными причинами этого являются: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специалистов по ремонту и эксплуатации коммунальных сетей;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сроков проведения планово-профилактических работ на инженерных сетях.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владельцев внутренних инженерных коммунальных сетей не принимают необходимых мер по выполнению предписаний </w:t>
      </w:r>
      <w:proofErr w:type="spellStart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гостехнадзора</w:t>
      </w:r>
      <w:proofErr w:type="spellEnd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СНиПов и технических регламентов по эксплуатации инженерных сетей. 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Оценка реализации мероприятий в области </w:t>
      </w:r>
      <w:proofErr w:type="spellStart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 по реализации данного направления являются: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обязательных энергетических обследований с разработкой комплекса мероприятий по энергосбережению;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предоставления качества услуг электро-, газо- и водоснабжения организациями, осуществляющими регулируемые виды деятельности;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аварийности и потерь в газовых, электрических и водопроводных сетях;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обучения специалистов в области энергосбережения и энергетической эффективности.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Обоснование целевых показателей развития системы коммунальной инфраструктуры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целевых показателей Программы обусловлена также следующими причинами: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социально-экономической остротой проблемы;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межотраслевым и межведомственным характером проблемы;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</w:t>
      </w: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сельского поселения в сложившихся условиях не в состоянии обеспечить полную надёжность работы коммунального комплекса.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аварий на инженерных сетях и оборудовании.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Предложения по организации реализации инвестиционных проектов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2F" w:rsidRPr="00045A2F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Результаты оценки совокупного платежа граждан за коммунальные услуги на соответствие критериям доступности</w:t>
      </w:r>
    </w:p>
    <w:p w:rsidR="00613FC0" w:rsidRDefault="00045A2F" w:rsidP="00045A2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Учет, расчет и начисление платежей за коммунальные услуги осуществляются по квитанциям </w:t>
      </w:r>
      <w:proofErr w:type="spellStart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0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На сегодняшний день приборы учета коммунальных ресурсов у потребителей Веселовского сельского поселения установлены на 90 %.</w:t>
      </w:r>
      <w:bookmarkStart w:id="0" w:name="_GoBack"/>
      <w:bookmarkEnd w:id="0"/>
    </w:p>
    <w:sectPr w:rsidR="006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3"/>
    <w:rsid w:val="00045A2F"/>
    <w:rsid w:val="00613FC0"/>
    <w:rsid w:val="008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E4B1-30A5-4E4E-88B1-6723414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5080</Words>
  <Characters>28961</Characters>
  <Application>Microsoft Office Word</Application>
  <DocSecurity>0</DocSecurity>
  <Lines>241</Lines>
  <Paragraphs>67</Paragraphs>
  <ScaleCrop>false</ScaleCrop>
  <Company/>
  <LinksUpToDate>false</LinksUpToDate>
  <CharactersWithSpaces>33974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2023-04-25T05:18:00Z</dcterms:created>
  <dcterms:modified xsi:type="dcterms:W3CDTF">2023-04-25T05:21:00Z</dcterms:modified>
</cp:coreProperties>
</file>