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26" w:rsidRDefault="006B2E26" w:rsidP="006B2E2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213AD6" wp14:editId="67D79504">
            <wp:extent cx="5905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26" w:rsidRDefault="006B2E26" w:rsidP="006B2E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B2E26" w:rsidRDefault="006B2E26" w:rsidP="006B2E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6B2E26" w:rsidRDefault="006B2E26" w:rsidP="006B2E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6B2E26" w:rsidRDefault="006B2E26" w:rsidP="006B2E26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 марта 2019 года                           № 73                              п. Веселый</w:t>
      </w: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развитие энергетики» за 2018 год</w:t>
      </w: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1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6B2E26" w:rsidRDefault="006B2E26" w:rsidP="006B2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 за 2017 год, утвержденной постановлением Администрации Веселовского сельского поселения от 29.10.2013 № 256 «Об утверждении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энергетики»,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6B2E26" w:rsidRDefault="006B2E26" w:rsidP="006B2E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6B2E26" w:rsidRDefault="006B2E26" w:rsidP="006B2E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6B2E26" w:rsidRDefault="006B2E26" w:rsidP="006B2E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6B2E26" w:rsidRDefault="006B2E26" w:rsidP="006B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                                 А.Н. Ищенко</w:t>
      </w:r>
    </w:p>
    <w:p w:rsidR="006B2E26" w:rsidRDefault="006B2E26" w:rsidP="006B2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2E26" w:rsidRDefault="006B2E26" w:rsidP="006B2E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6B2E26" w:rsidRDefault="006B2E26" w:rsidP="006B2E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</w:t>
      </w:r>
      <w:r w:rsidR="00B8456C">
        <w:rPr>
          <w:rFonts w:ascii="Times New Roman" w:eastAsia="Times New Roman" w:hAnsi="Times New Roman"/>
          <w:lang w:eastAsia="ru-RU"/>
        </w:rPr>
        <w:t>постановлению</w:t>
      </w:r>
      <w:r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6B2E26" w:rsidRDefault="006B2E26" w:rsidP="006B2E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6B2E26" w:rsidRDefault="006B2E26" w:rsidP="006B2E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B8456C">
        <w:rPr>
          <w:rFonts w:ascii="Times New Roman" w:eastAsia="Times New Roman" w:hAnsi="Times New Roman"/>
          <w:lang w:eastAsia="ru-RU"/>
        </w:rPr>
        <w:t>04</w:t>
      </w:r>
      <w:r>
        <w:rPr>
          <w:rFonts w:ascii="Times New Roman" w:eastAsia="Times New Roman" w:hAnsi="Times New Roman"/>
          <w:lang w:eastAsia="ru-RU"/>
        </w:rPr>
        <w:t>.03.2019 года №</w:t>
      </w:r>
      <w:r w:rsidR="00B8456C">
        <w:rPr>
          <w:rFonts w:ascii="Times New Roman" w:eastAsia="Times New Roman" w:hAnsi="Times New Roman"/>
          <w:lang w:eastAsia="ru-RU"/>
        </w:rPr>
        <w:t xml:space="preserve"> 73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:rsidR="006B2E26" w:rsidRDefault="006B2E26" w:rsidP="006B2E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6B2E26" w:rsidRDefault="006B2E26" w:rsidP="006B2E2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муниципальной программе Веселовского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развитие энергетики» за 2018 год.</w:t>
      </w:r>
    </w:p>
    <w:p w:rsidR="000D3281" w:rsidRDefault="000D3281" w:rsidP="006B2E26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E26" w:rsidRDefault="000D3281" w:rsidP="000D3281">
      <w:pPr>
        <w:shd w:val="clear" w:color="auto" w:fill="FFFFFF"/>
        <w:spacing w:after="0" w:line="317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1. </w:t>
      </w:r>
      <w:r w:rsidR="00FF5E8D">
        <w:rPr>
          <w:rFonts w:ascii="Times New Roman" w:eastAsia="Times New Roman" w:hAnsi="Times New Roman"/>
          <w:b/>
          <w:sz w:val="28"/>
          <w:szCs w:val="28"/>
          <w:lang w:eastAsia="ru-RU"/>
        </w:rPr>
        <w:t>Конкретные р</w:t>
      </w:r>
      <w:r w:rsidRPr="000D3281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езультаты реализации муниципальной программы, достигнутые в 2018 году.</w:t>
      </w:r>
    </w:p>
    <w:p w:rsidR="006B2E26" w:rsidRDefault="006B2E26" w:rsidP="006B2E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29.10.2013 № 256 была утверждена муниципальная долгосрочная целевая программа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энергетики».</w:t>
      </w:r>
    </w:p>
    <w:p w:rsidR="006B2E26" w:rsidRDefault="006B2E26" w:rsidP="006B2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заказчиком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является Администрация  Веселовского сельского поселения.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Конкретные результаты реализации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программы  является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улучшение условий и качества жизни населения Веселовского сельского поселения  вследствие перехода  на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в 2018 году             достигнуты следующие результаты: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проведены мероприятия по стимулированию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потребителей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предприятий к снижению  температуры возвращаемого теплоносителя;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 комплекс мер, направленных на улучшение платежной дисциплины при оплате за тепловую энергию;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муниципальных учреждениях назначены ответственные за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сбережение, осуществляющие контроль за соблюдением энергосберегающих мероприятий и учитывающие эффект от их внедрения;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F22FAE" w:rsidRPr="00F22FAE" w:rsidRDefault="00F22FAE" w:rsidP="00F22FAE">
      <w:pPr>
        <w:rPr>
          <w:rFonts w:ascii="Times New Roman" w:hAnsi="Times New Roman"/>
          <w:b/>
          <w:sz w:val="28"/>
          <w:szCs w:val="28"/>
        </w:rPr>
      </w:pPr>
      <w:r w:rsidRPr="00F22FAE">
        <w:rPr>
          <w:rFonts w:ascii="Times New Roman" w:hAnsi="Times New Roman"/>
          <w:b/>
          <w:sz w:val="28"/>
          <w:szCs w:val="28"/>
        </w:rPr>
        <w:t xml:space="preserve">Раздел 2. Результаты реализации основных мероприятий и мероприятий ведомственных целевых программ в разрезе подпрограмм муниципальной программы.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Программы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включает  подпрограмму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Веселовском сельском поселении;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программы в 2018 году в бюджете Веселовского сельского поселения предусмотрено 482,4 тыс. рублей. Фактически освоено                 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Реализация основных мероприятий программы осуществляется в соответствии с планом реализации, утверждённым распоряжением Администрации Веселовского сельского поселения от 15.12.2017 № 173.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Программой предусмотрена реализация 5 основных мероприятий. Выполнено 5 мероприятия в полном объёме и в установленные сроки.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1.1.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Прединвестиционная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а также проведение энергетических обследований». Финансирование в 2018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году 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запланировано.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1.2. «Мероприятия по информационной поддержке и пропаганде энергосбережения и энергетической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эффективности 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выполнено.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Финансирование  данного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мероприятия в 2018 году не планировалось.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Мероприятия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диспетчеризации» выполнено за счет средств собственников.  Финансирование настоящего мероприятия в 2018 году не планировалось.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1.4.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Мероприятия, направленные на снижение потребления энергоресурсов на собственные нужды при осуществлении регулируемых видов деятельности (Замена ламп накаливания и других неэф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фективных элементов систем освещения, в том числе светильников, на энерго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сберегающие (в том числе не менее 30 процентов от объема на основе светодиодов)» выполнено.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рамках  мероприятия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1.4. на 2018 год было предусмотрено финансирование в сумме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фонарях наружного освещения проведена замена ламп накаливания на светодиодные.  Оплата по факту выполненных работ составила 99,8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Выполнены работы по ремонту тамбурного помещения в здании администрации Веселовского сельского поселения на сумму 202,6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Выполнена штукатурку здания администрации на сумму 180,0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Основное мероприятие 1.5.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замещения»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степени выполнения основных мероприятий подпрограммы муниципальной программы приведены в таблице № 2 к настоящему                отчету.</w:t>
      </w:r>
    </w:p>
    <w:p w:rsidR="004E2907" w:rsidRPr="004E2907" w:rsidRDefault="004E2907" w:rsidP="004E2907">
      <w:pPr>
        <w:jc w:val="both"/>
        <w:rPr>
          <w:rFonts w:ascii="Times New Roman" w:hAnsi="Times New Roman"/>
          <w:b/>
          <w:sz w:val="28"/>
          <w:szCs w:val="28"/>
        </w:rPr>
      </w:pPr>
      <w:r w:rsidRPr="004E2907">
        <w:rPr>
          <w:rFonts w:ascii="Times New Roman" w:hAnsi="Times New Roman"/>
          <w:b/>
          <w:sz w:val="28"/>
          <w:szCs w:val="28"/>
        </w:rPr>
        <w:t>Раздел 3. Анализ факторов, повлиявших на ход реализации муниципальной программы.</w:t>
      </w:r>
    </w:p>
    <w:p w:rsidR="004E2907" w:rsidRPr="004E2907" w:rsidRDefault="004E2907" w:rsidP="004E2907">
      <w:pPr>
        <w:jc w:val="both"/>
        <w:rPr>
          <w:rFonts w:ascii="Times New Roman" w:hAnsi="Times New Roman"/>
          <w:sz w:val="28"/>
          <w:szCs w:val="28"/>
        </w:rPr>
      </w:pPr>
      <w:r w:rsidRPr="004E2907">
        <w:rPr>
          <w:rFonts w:ascii="Times New Roman" w:hAnsi="Times New Roman"/>
          <w:b/>
          <w:sz w:val="28"/>
          <w:szCs w:val="28"/>
        </w:rPr>
        <w:t xml:space="preserve">     </w:t>
      </w:r>
      <w:r w:rsidRPr="004E2907">
        <w:rPr>
          <w:rFonts w:ascii="Times New Roman" w:hAnsi="Times New Roman"/>
          <w:sz w:val="28"/>
          <w:szCs w:val="28"/>
        </w:rPr>
        <w:t>На низкий уровень эффективности муниципальной программы повлияли следующие факторы:</w:t>
      </w:r>
    </w:p>
    <w:p w:rsidR="004E2907" w:rsidRPr="004E2907" w:rsidRDefault="004E2907" w:rsidP="004E2907">
      <w:pPr>
        <w:jc w:val="both"/>
        <w:rPr>
          <w:rFonts w:ascii="Times New Roman" w:hAnsi="Times New Roman"/>
          <w:sz w:val="28"/>
          <w:szCs w:val="28"/>
        </w:rPr>
      </w:pPr>
      <w:r w:rsidRPr="004E2907">
        <w:rPr>
          <w:rFonts w:ascii="Times New Roman" w:hAnsi="Times New Roman"/>
          <w:sz w:val="28"/>
          <w:szCs w:val="28"/>
        </w:rPr>
        <w:t>- выделение недостаточного количества бюджетных средств;</w:t>
      </w:r>
    </w:p>
    <w:p w:rsidR="004E2907" w:rsidRPr="004E2907" w:rsidRDefault="004E2907" w:rsidP="004E2907">
      <w:pPr>
        <w:jc w:val="both"/>
        <w:rPr>
          <w:rFonts w:ascii="Times New Roman" w:hAnsi="Times New Roman"/>
          <w:sz w:val="28"/>
          <w:szCs w:val="28"/>
        </w:rPr>
      </w:pPr>
      <w:r w:rsidRPr="004E2907">
        <w:rPr>
          <w:rFonts w:ascii="Times New Roman" w:hAnsi="Times New Roman"/>
          <w:sz w:val="28"/>
          <w:szCs w:val="28"/>
        </w:rPr>
        <w:t>- отсутствие инвесторов;</w:t>
      </w:r>
    </w:p>
    <w:p w:rsidR="004E2907" w:rsidRDefault="004E2907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Pr="00F22FAE" w:rsidRDefault="00F22FAE" w:rsidP="006B2E26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22FAE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4658D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F22FA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C1E5A">
        <w:rPr>
          <w:rFonts w:ascii="Times New Roman" w:hAnsi="Times New Roman"/>
          <w:b/>
          <w:sz w:val="28"/>
          <w:szCs w:val="28"/>
          <w:lang w:eastAsia="ru-RU"/>
        </w:rPr>
        <w:t xml:space="preserve"> Сведения</w:t>
      </w:r>
      <w:bookmarkStart w:id="0" w:name="_GoBack"/>
      <w:bookmarkEnd w:id="0"/>
      <w:r w:rsidR="006B2E26" w:rsidRPr="00F22FA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2FAE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6B2E26" w:rsidRPr="00F22FAE">
        <w:rPr>
          <w:rFonts w:ascii="Times New Roman" w:hAnsi="Times New Roman"/>
          <w:b/>
          <w:sz w:val="28"/>
          <w:szCs w:val="28"/>
          <w:lang w:eastAsia="ru-RU"/>
        </w:rPr>
        <w:t>использовани</w:t>
      </w:r>
      <w:r w:rsidRPr="00F22FAE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B2E26" w:rsidRPr="00F22FAE">
        <w:rPr>
          <w:rFonts w:ascii="Times New Roman" w:hAnsi="Times New Roman"/>
          <w:b/>
          <w:sz w:val="28"/>
          <w:szCs w:val="28"/>
          <w:lang w:eastAsia="ru-RU"/>
        </w:rPr>
        <w:t xml:space="preserve"> бюджетных </w:t>
      </w:r>
      <w:proofErr w:type="gramStart"/>
      <w:r w:rsidR="006B2E26" w:rsidRPr="00F22FAE">
        <w:rPr>
          <w:rFonts w:ascii="Times New Roman" w:hAnsi="Times New Roman"/>
          <w:b/>
          <w:sz w:val="28"/>
          <w:szCs w:val="28"/>
          <w:lang w:eastAsia="ru-RU"/>
        </w:rPr>
        <w:t>ассигнований  и</w:t>
      </w:r>
      <w:proofErr w:type="gramEnd"/>
      <w:r w:rsidR="006B2E26" w:rsidRPr="00F22FAE">
        <w:rPr>
          <w:rFonts w:ascii="Times New Roman" w:hAnsi="Times New Roman"/>
          <w:b/>
          <w:sz w:val="28"/>
          <w:szCs w:val="28"/>
          <w:lang w:eastAsia="ru-RU"/>
        </w:rPr>
        <w:t xml:space="preserve">  внебюджетных средств  на реализацию  мероприятий муниципальной программы.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расходов, предусмотренных муниципальной программой                на 2018 год составляет –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из них: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областного бюджета –    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расходов, предусмотренных подпрограммой 1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Веселовском сельском поселении»  на 2018 год  составляет –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482,4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E26" w:rsidRDefault="006B2E26" w:rsidP="006B2E2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выполнение мероприятий приведены в таблице № 3 к настоящему отчету. </w:t>
      </w:r>
    </w:p>
    <w:p w:rsidR="00AA2CB8" w:rsidRPr="00AA2CB8" w:rsidRDefault="00AA2CB8" w:rsidP="00AA2CB8">
      <w:pPr>
        <w:rPr>
          <w:rFonts w:ascii="Times New Roman" w:hAnsi="Times New Roman"/>
          <w:b/>
          <w:sz w:val="28"/>
          <w:szCs w:val="28"/>
        </w:rPr>
      </w:pPr>
      <w:r w:rsidRPr="00AA2CB8">
        <w:rPr>
          <w:rFonts w:ascii="Times New Roman" w:hAnsi="Times New Roman"/>
          <w:b/>
          <w:sz w:val="28"/>
          <w:szCs w:val="28"/>
        </w:rPr>
        <w:t xml:space="preserve">Раздел </w:t>
      </w:r>
      <w:r w:rsidR="004658DA">
        <w:rPr>
          <w:rFonts w:ascii="Times New Roman" w:hAnsi="Times New Roman"/>
          <w:b/>
          <w:sz w:val="28"/>
          <w:szCs w:val="28"/>
        </w:rPr>
        <w:t>5</w:t>
      </w:r>
      <w:r w:rsidRPr="00AA2CB8">
        <w:rPr>
          <w:rFonts w:ascii="Times New Roman" w:hAnsi="Times New Roman"/>
          <w:b/>
          <w:sz w:val="28"/>
          <w:szCs w:val="28"/>
        </w:rPr>
        <w:t>. Сведения о достижении значений показателей (индикаторов) муниципальной программы.</w:t>
      </w:r>
    </w:p>
    <w:p w:rsidR="00AA2CB8" w:rsidRPr="00AA2CB8" w:rsidRDefault="00AA2CB8" w:rsidP="00AA2CB8">
      <w:pPr>
        <w:rPr>
          <w:rFonts w:ascii="Times New Roman" w:hAnsi="Times New Roman"/>
          <w:sz w:val="28"/>
          <w:szCs w:val="28"/>
        </w:rPr>
      </w:pPr>
      <w:r w:rsidRPr="00AA2CB8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 приведены в таблице.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6B2E26" w:rsidTr="006B2E26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(индикатора)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Расчет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Степень достижения показателя программы, %</w:t>
            </w: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6B2E26" w:rsidTr="006B2E26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6B2E26" w:rsidTr="006B2E26"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электроэнергии,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электроэнергии, потребляемой на территории  муниципального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6B2E26" w:rsidTr="006B2E26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тепловой 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тепловой  энергии,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потребляемой на территории муниципального образования   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75/50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0,6</w:t>
            </w:r>
          </w:p>
        </w:tc>
      </w:tr>
      <w:tr w:rsidR="006B2E26" w:rsidTr="006B2E26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холодной воды,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воды, потребляемой на территории  муниципального образования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100/80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0,8</w:t>
            </w:r>
          </w:p>
        </w:tc>
      </w:tr>
      <w:tr w:rsidR="006B2E26" w:rsidTr="006B2E26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природного газа, расчеты за которую осуществляются                 с использованием приборов учета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объёме природного газа, потребляемого   на территории муниципального образования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100/100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</w:tr>
      <w:tr w:rsidR="006B2E26" w:rsidTr="006B2E26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1/0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</w:tr>
    </w:tbl>
    <w:p w:rsidR="00102B5B" w:rsidRDefault="00102B5B" w:rsidP="00102B5B">
      <w:pPr>
        <w:rPr>
          <w:rFonts w:ascii="Times New Roman" w:hAnsi="Times New Roman"/>
          <w:b/>
          <w:sz w:val="28"/>
          <w:szCs w:val="28"/>
        </w:rPr>
      </w:pPr>
    </w:p>
    <w:p w:rsidR="00102B5B" w:rsidRPr="00102B5B" w:rsidRDefault="00102B5B" w:rsidP="00102B5B">
      <w:pPr>
        <w:rPr>
          <w:rFonts w:ascii="Times New Roman" w:hAnsi="Times New Roman"/>
          <w:b/>
          <w:sz w:val="28"/>
          <w:szCs w:val="28"/>
        </w:rPr>
      </w:pPr>
      <w:r w:rsidRPr="00102B5B">
        <w:rPr>
          <w:rFonts w:ascii="Times New Roman" w:hAnsi="Times New Roman"/>
          <w:b/>
          <w:sz w:val="28"/>
          <w:szCs w:val="28"/>
        </w:rPr>
        <w:t xml:space="preserve">Раздел </w:t>
      </w:r>
      <w:r w:rsidR="004658DA">
        <w:rPr>
          <w:rFonts w:ascii="Times New Roman" w:hAnsi="Times New Roman"/>
          <w:b/>
          <w:sz w:val="28"/>
          <w:szCs w:val="28"/>
        </w:rPr>
        <w:t>6</w:t>
      </w:r>
      <w:r w:rsidRPr="00102B5B">
        <w:rPr>
          <w:rFonts w:ascii="Times New Roman" w:hAnsi="Times New Roman"/>
          <w:b/>
          <w:sz w:val="28"/>
          <w:szCs w:val="28"/>
        </w:rPr>
        <w:t>. Информация о результатах оценки эффективности муниципальной программы.</w:t>
      </w:r>
    </w:p>
    <w:p w:rsidR="00102B5B" w:rsidRPr="00102B5B" w:rsidRDefault="00102B5B" w:rsidP="00102B5B">
      <w:pPr>
        <w:rPr>
          <w:rFonts w:ascii="Times New Roman" w:hAnsi="Times New Roman"/>
          <w:sz w:val="28"/>
          <w:szCs w:val="28"/>
        </w:rPr>
      </w:pPr>
      <w:r w:rsidRPr="00102B5B">
        <w:rPr>
          <w:rFonts w:ascii="Times New Roman" w:hAnsi="Times New Roman"/>
          <w:b/>
          <w:sz w:val="28"/>
          <w:szCs w:val="28"/>
        </w:rPr>
        <w:t xml:space="preserve">     </w:t>
      </w:r>
      <w:r w:rsidRPr="00102B5B">
        <w:rPr>
          <w:rFonts w:ascii="Times New Roman" w:hAnsi="Times New Roman"/>
          <w:sz w:val="28"/>
          <w:szCs w:val="28"/>
        </w:rPr>
        <w:t>Оценка эффективности программы определяется на основании оценки фактической эффективности в процессе и по итогам реализации муниципальной программы и основывается на оценке результативности программы с учетом объема ресурсов, направленных на ее реализацию.</w:t>
      </w:r>
    </w:p>
    <w:p w:rsidR="006B2E26" w:rsidRDefault="00102B5B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E26"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1/1=1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Эп2 = 0,6/1=0,6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Эп3 = 0,8/1=0,8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Эп4 = 1/1 =1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Эп5 = 0/1=0</w:t>
      </w:r>
    </w:p>
    <w:p w:rsidR="006B2E26" w:rsidRDefault="00102B5B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2E26"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6B2E26" w:rsidRDefault="006B2E26" w:rsidP="006B2E26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1EDAD26D" wp14:editId="4661D58C">
            <wp:extent cx="828675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=3,4/5=0,68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достижения целевых показателей составляет 0,68, что характеризует низкий уровень эффективности реализации муниципальной программы.</w:t>
      </w:r>
    </w:p>
    <w:p w:rsidR="006B2E26" w:rsidRDefault="00102B5B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3.</w:t>
      </w:r>
      <w:r w:rsidR="006B2E26"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=3/5=0,6.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0,6, что характеризует низкий уровень эффективности реализации программы.</w:t>
      </w:r>
    </w:p>
    <w:p w:rsidR="006B2E26" w:rsidRDefault="00102B5B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4.</w:t>
      </w:r>
      <w:r w:rsidR="006B2E26"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</w:rPr>
        <w:t>482,4тыс.руб.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</w:rPr>
        <w:t>/482,4тыс.руб.=1.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0,6/1=0,6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низкая.</w:t>
      </w:r>
    </w:p>
    <w:p w:rsidR="006B2E26" w:rsidRDefault="00102B5B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5.</w:t>
      </w:r>
      <w:r w:rsidR="006B2E26"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=0,68Х0,5+0,6Х0,3+0,6Х0,2=0,64</w:t>
      </w:r>
    </w:p>
    <w:p w:rsidR="006B2E26" w:rsidRDefault="006B2E26" w:rsidP="006B2E2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2018 году низкий.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</w:p>
    <w:p w:rsidR="005D5E86" w:rsidRPr="005D5E86" w:rsidRDefault="005D5E86" w:rsidP="005D5E8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  <w:r w:rsidRPr="005D5E86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Раздел </w:t>
      </w:r>
      <w:r w:rsidR="004658DA">
        <w:rPr>
          <w:rFonts w:ascii="Times New Roman" w:eastAsia="Times New Roman" w:hAnsi="Times New Roman"/>
          <w:b/>
          <w:kern w:val="2"/>
          <w:sz w:val="28"/>
          <w:szCs w:val="28"/>
        </w:rPr>
        <w:t>7</w:t>
      </w:r>
      <w:r w:rsidRPr="005D5E86">
        <w:rPr>
          <w:rFonts w:ascii="Times New Roman" w:eastAsia="Times New Roman" w:hAnsi="Times New Roman"/>
          <w:b/>
          <w:kern w:val="2"/>
          <w:sz w:val="28"/>
          <w:szCs w:val="28"/>
        </w:rPr>
        <w:t>. Предложения по дальнейшей реализации муниципальной программы.</w:t>
      </w:r>
    </w:p>
    <w:p w:rsidR="005D5E86" w:rsidRPr="005D5E86" w:rsidRDefault="005D5E86" w:rsidP="005D5E86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D5E86">
        <w:rPr>
          <w:rFonts w:ascii="Times New Roman" w:eastAsia="Times New Roman" w:hAnsi="Times New Roman"/>
          <w:kern w:val="2"/>
          <w:sz w:val="28"/>
          <w:szCs w:val="28"/>
        </w:rPr>
        <w:t>Предложений по дальнейшей реализации муниципальной программы не имеется. Настоящая муниципальная программа утратила силу с 01.01.2019г.</w:t>
      </w:r>
    </w:p>
    <w:p w:rsidR="005D5E86" w:rsidRPr="005D5E86" w:rsidRDefault="005D5E86" w:rsidP="005D5E86">
      <w:pPr>
        <w:rPr>
          <w:rFonts w:ascii="Times New Roman" w:hAnsi="Times New Roman"/>
          <w:sz w:val="28"/>
          <w:szCs w:val="28"/>
        </w:rPr>
      </w:pPr>
    </w:p>
    <w:p w:rsidR="005D5E86" w:rsidRPr="005D5E86" w:rsidRDefault="005D5E86" w:rsidP="005D5E86">
      <w:pPr>
        <w:rPr>
          <w:rFonts w:ascii="Times New Roman" w:hAnsi="Times New Roman"/>
          <w:sz w:val="28"/>
          <w:szCs w:val="28"/>
        </w:rPr>
      </w:pPr>
    </w:p>
    <w:p w:rsidR="005D5E86" w:rsidRPr="005D5E86" w:rsidRDefault="005D5E86" w:rsidP="005D5E86">
      <w:pPr>
        <w:rPr>
          <w:rFonts w:ascii="Times New Roman" w:hAnsi="Times New Roman"/>
          <w:sz w:val="28"/>
          <w:szCs w:val="28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ar-SA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6B2E26">
          <w:pgSz w:w="11906" w:h="16838"/>
          <w:pgMar w:top="567" w:right="567" w:bottom="567" w:left="2268" w:header="283" w:footer="283" w:gutter="0"/>
          <w:cols w:space="720"/>
        </w:sect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1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достижении значений показателей (индикаторов)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6B2E26" w:rsidTr="006B2E26"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3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6B2E26" w:rsidTr="006B2E26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 год</w:t>
            </w:r>
          </w:p>
        </w:tc>
        <w:tc>
          <w:tcPr>
            <w:tcW w:w="40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отчетный год 2018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2E26" w:rsidTr="006B2E26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6B2E26" w:rsidTr="006B2E26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B2E26" w:rsidTr="006B2E26">
        <w:tc>
          <w:tcPr>
            <w:tcW w:w="15730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электроэнергии,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электроэнергии, потребляемой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организацией  завершена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установка приборов учета электроэнергии</w:t>
            </w:r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тепловой 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2018 году установлено 2 прибора учета тепловой энергии в учреждениях. Согласно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поправкам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ФЗ № 261 «Об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энергосбе-режении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...» 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(ФЗ от 29.12.2014 № 466) установка приборов учета не требуется, если максимальный расход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теплоэнерги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превы-шает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0,2 Гкал/час.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планового  показателя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горячей воды,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воды, потребляемой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муници-пального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Поставка горячей воды не осуществляется</w:t>
            </w:r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холодной воды,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воды, потребляемой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Продолжается работа с населением по установке приборов учета</w:t>
            </w:r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Согласно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поправкам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ФЗ № 261 «Об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-сбережении...» 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(ФЗ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29,12.2014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№ 466) установка приборов учета не требуется, если максимальный расход газа не превышает 2 м3/час.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зателя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откорректиро-вано</w:t>
            </w:r>
            <w:proofErr w:type="spellEnd"/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Значение планового показателя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6B2E26" w:rsidTr="006B2E26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природным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газом,газовыми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смесями и сжиженным углеводородным газом, используемыми в качестве моторного топлива.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Значение планового показателя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lang w:eastAsia="ru-RU"/>
        </w:rPr>
      </w:pPr>
    </w:p>
    <w:p w:rsidR="006B2E26" w:rsidRDefault="006B2E26" w:rsidP="006B2E26">
      <w:pPr>
        <w:rPr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2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степени выполнения основных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мероприятий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6B2E26" w:rsidTr="006B2E26"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исполнитель, заместитель ОИВ/ФИО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Результаты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Проблемы, возникшие в ходе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мероприя-тий</w:t>
            </w:r>
            <w:proofErr w:type="spellEnd"/>
            <w:proofErr w:type="gramEnd"/>
          </w:p>
        </w:tc>
      </w:tr>
      <w:tr w:rsidR="006B2E26" w:rsidTr="006B2E26"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запланированные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достигнутые</w:t>
            </w: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6B2E26" w:rsidTr="006B2E26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6B2E26" w:rsidTr="006B2E26">
        <w:tc>
          <w:tcPr>
            <w:tcW w:w="15732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Веселовском сельском поселении»</w:t>
            </w:r>
          </w:p>
        </w:tc>
      </w:tr>
      <w:tr w:rsidR="006B2E26" w:rsidTr="006B2E26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прединвести-ционной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подготовке проектов и мероприятий в области энергосбережения и повышения энергетической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по срокам проведения энергетических обследований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Систематизированы сроки проведения энергетического обследования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2E26" w:rsidTr="006B2E26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РФ муниципального образования, направленные в том числе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РФ 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энергетических паспортов и мероприятий по энергосбережению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Проведено энергетическое обследование и разработаны энергетические паспорта. 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2E26" w:rsidTr="006B2E26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диспетчеризации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приборов учета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выполнено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Финансирование не запланировано</w:t>
            </w:r>
          </w:p>
        </w:tc>
      </w:tr>
      <w:tr w:rsidR="006B2E26" w:rsidTr="006B2E26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снижение потребления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энергоресурсов на собственные нужды при осуществлении регулируемых видов деятельности (Замена ламп накаливания и других неэф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фективных элементов систем освещения, в том числе светильников, на энерго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сберегающие (в том числе не менее 30 процентов от объема на основе светодиодов)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Сектор строительства, ЖКХ, земельных 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потребления энергоресурсов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Установлены светодиодные светильники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2E26" w:rsidTr="006B2E26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замещению бензина и дизельного топлива, используемых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отношени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Снижение расхода топлива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 выполнено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Финансирование не запланировано</w:t>
            </w: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Таблица 3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bookmarkStart w:id="1" w:name="Par1643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Сведения  </w:t>
      </w:r>
    </w:p>
    <w:p w:rsidR="006B2E26" w:rsidRDefault="006B2E26" w:rsidP="006B2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 </w:t>
      </w:r>
      <w:proofErr w:type="gramStart"/>
      <w:r>
        <w:rPr>
          <w:rFonts w:ascii="Times New Roman" w:hAnsi="Times New Roman"/>
          <w:sz w:val="28"/>
          <w:szCs w:val="28"/>
        </w:rPr>
        <w:t>за  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6B2E26" w:rsidTr="006B2E26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расходов,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  <w:tr w:rsidR="006B2E26" w:rsidTr="006B2E26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1575"/>
        <w:gridCol w:w="15"/>
        <w:gridCol w:w="15"/>
        <w:gridCol w:w="15"/>
        <w:gridCol w:w="46"/>
        <w:gridCol w:w="1595"/>
        <w:gridCol w:w="1276"/>
        <w:gridCol w:w="35"/>
      </w:tblGrid>
      <w:tr w:rsidR="006B2E26" w:rsidTr="006B2E26">
        <w:trPr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2E26" w:rsidTr="006B2E26">
        <w:trPr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Муниципальная программа    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  <w:p w:rsidR="006B2E26" w:rsidRDefault="006B2E2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</w:tr>
      <w:tr w:rsidR="006B2E26" w:rsidTr="006B2E26">
        <w:trPr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</w:tr>
      <w:tr w:rsidR="006B2E26" w:rsidTr="006B2E26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26" w:rsidTr="006B2E26">
        <w:trPr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-областного бюджета 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-федерального бюджета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«Энергосбережение и 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Веселовском сельском поселении»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</w:tr>
      <w:tr w:rsidR="006B2E26" w:rsidTr="006B2E26">
        <w:trPr>
          <w:gridAfter w:val="1"/>
          <w:wAfter w:w="35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</w:tr>
      <w:tr w:rsidR="006B2E26" w:rsidTr="006B2E26">
        <w:trPr>
          <w:gridAfter w:val="1"/>
          <w:wAfter w:w="35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прединвести-ционной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9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0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6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9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4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 2.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РФ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РФ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66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6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67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3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1.3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диспетчеризации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4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3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26" w:rsidTr="006B2E26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3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3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1.4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направленные на снижение потребления энергоресурсов на собственные нужды при осуществлении регулируемых видов деятельности (Замена ламп накаливания и других неэф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фективных элементов систем освещения, в том числе светильников, на энерго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сберегающие (в том числе не менее 30 процентов от объема на основе светодиодов)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</w:tr>
      <w:tr w:rsidR="006B2E26" w:rsidTr="006B2E26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482,4</w:t>
            </w:r>
          </w:p>
        </w:tc>
      </w:tr>
      <w:tr w:rsidR="006B2E26" w:rsidTr="006B2E26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19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2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343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1.5</w:t>
            </w:r>
          </w:p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замещению бензина и дизельного топлива, используемых транспортными средствами в качестве моторного топлива, природным газом,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1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5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0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1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B2E26" w:rsidTr="006B2E26">
        <w:trPr>
          <w:gridAfter w:val="1"/>
          <w:wAfter w:w="35" w:type="dxa"/>
          <w:trHeight w:val="45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26" w:rsidRDefault="006B2E2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26" w:rsidRDefault="006B2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6B2E26" w:rsidRDefault="006B2E26" w:rsidP="006B2E26">
      <w:pPr>
        <w:rPr>
          <w:rFonts w:ascii="Times New Roman" w:hAnsi="Times New Roman"/>
          <w:sz w:val="28"/>
          <w:szCs w:val="28"/>
          <w:lang w:eastAsia="ru-RU"/>
        </w:rPr>
      </w:pPr>
    </w:p>
    <w:p w:rsidR="00B226B3" w:rsidRDefault="00B226B3"/>
    <w:sectPr w:rsidR="00B226B3" w:rsidSect="006B2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66"/>
    <w:rsid w:val="000D3281"/>
    <w:rsid w:val="00102B5B"/>
    <w:rsid w:val="00303766"/>
    <w:rsid w:val="004658DA"/>
    <w:rsid w:val="004E2907"/>
    <w:rsid w:val="005D5E86"/>
    <w:rsid w:val="006B2E26"/>
    <w:rsid w:val="008C1E5A"/>
    <w:rsid w:val="00AA2CB8"/>
    <w:rsid w:val="00B226B3"/>
    <w:rsid w:val="00B8456C"/>
    <w:rsid w:val="00F22FAE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C734-AA0F-4DDA-AD08-22DDCD7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2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3458</Words>
  <Characters>19714</Characters>
  <Application>Microsoft Office Word</Application>
  <DocSecurity>0</DocSecurity>
  <Lines>164</Lines>
  <Paragraphs>46</Paragraphs>
  <ScaleCrop>false</ScaleCrop>
  <Company/>
  <LinksUpToDate>false</LinksUpToDate>
  <CharactersWithSpaces>23126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12</cp:revision>
  <dcterms:created xsi:type="dcterms:W3CDTF">2019-03-14T14:32:00Z</dcterms:created>
  <dcterms:modified xsi:type="dcterms:W3CDTF">2019-03-19T08:42:00Z</dcterms:modified>
</cp:coreProperties>
</file>